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68B5" w14:textId="7BF1BE68" w:rsidR="009843B5" w:rsidRPr="009843B5" w:rsidRDefault="009843B5" w:rsidP="009843B5">
      <w:pPr>
        <w:spacing w:before="100" w:beforeAutospacing="1" w:after="100" w:afterAutospacing="1"/>
        <w:ind w:left="720"/>
        <w:jc w:val="center"/>
        <w:rPr>
          <w:rFonts w:ascii="Comic Sans MS" w:eastAsia="Times New Roman" w:hAnsi="Comic Sans MS" w:cs="Times New Roman"/>
          <w:color w:val="000000" w:themeColor="text1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 w:themeColor="text1"/>
          <w:kern w:val="0"/>
          <w:sz w:val="30"/>
          <w:szCs w:val="30"/>
          <w14:ligatures w14:val="none"/>
        </w:rPr>
        <w:t>ELAR Foundational Skills</w:t>
      </w:r>
    </w:p>
    <w:p w14:paraId="7114B00C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Phonemic Awareness: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The ability to recognize and manipulate individual sounds (phonemes) in spoken words. This includes identifying rhymes, segmenting words into individual sounds, and blending sounds to form words.</w:t>
      </w:r>
    </w:p>
    <w:p w14:paraId="41B2A915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Phonics: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Understanding the relationship between letters (graphemes) and sounds (phonemes). Phonics instruction helps learners decode words by associating sounds with corresponding letters or letter combinations.</w:t>
      </w:r>
    </w:p>
    <w:p w14:paraId="7E0D53AE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Vocabulary Development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>: Building a strong vocabulary is crucial for understanding written text. This involves learning the meanings of words, including sight words (high-frequency words that may not follow regular phonetic patterns) and content-specific vocabulary.</w:t>
      </w:r>
    </w:p>
    <w:p w14:paraId="60503E3C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Fluency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>: The ability to read text accurately, quickly, and with expression. Fluent readers can recognize words automatically, allowing them to focus on comprehension rather than decoding individual words.</w:t>
      </w:r>
    </w:p>
    <w:p w14:paraId="01705FBD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Comprehension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>: Understanding and making meaning from written text. This includes identifying main ideas, making inferences, summarizing, and drawing conclusions.</w:t>
      </w:r>
    </w:p>
    <w:p w14:paraId="4F158444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Sight Word Recognition: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Instantly recognizing high-frequency words by sight, without sounding them out. Sight word recognition improves reading fluency and comprehension.</w:t>
      </w:r>
    </w:p>
    <w:p w14:paraId="077FFDCC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Reading Comprehension Strategies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>: Employing various strategies to enhance understanding, such as predicting, visualizing, questioning, and summarizing.</w:t>
      </w:r>
    </w:p>
    <w:p w14:paraId="543838ED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Decoding: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Using phonics knowledge to sound out unfamiliar words. Decoding skills are essential for reading new or unfamiliar text.</w:t>
      </w:r>
    </w:p>
    <w:p w14:paraId="0BECB052" w14:textId="77777777" w:rsidR="009843B5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Reading Aloud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>: Practicing reading aloud helps develop fluency, expression, and comprehension skills. It also provides opportunities for feedback and correction.</w:t>
      </w:r>
    </w:p>
    <w:p w14:paraId="73F80F4B" w14:textId="046F26D6" w:rsidR="00256262" w:rsidRPr="009843B5" w:rsidRDefault="009843B5" w:rsidP="009843B5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kern w:val="0"/>
          <w14:ligatures w14:val="none"/>
        </w:rPr>
      </w:pPr>
      <w:r w:rsidRPr="009843B5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  <w14:ligatures w14:val="none"/>
        </w:rPr>
        <w:t>Contextual Understanding</w:t>
      </w:r>
      <w:r w:rsidRPr="009843B5">
        <w:rPr>
          <w:rFonts w:ascii="Comic Sans MS" w:eastAsia="Times New Roman" w:hAnsi="Comic Sans MS" w:cs="Times New Roman"/>
          <w:color w:val="000000"/>
          <w:kern w:val="0"/>
          <w14:ligatures w14:val="none"/>
        </w:rPr>
        <w:t>: Grasping the meaning of words and phrases based on the surrounding context. Context clues help readers infer the meanings of unfamiliar words.</w:t>
      </w:r>
    </w:p>
    <w:sectPr w:rsidR="00256262" w:rsidRPr="0098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84C"/>
    <w:multiLevelType w:val="multilevel"/>
    <w:tmpl w:val="7E7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67568"/>
    <w:multiLevelType w:val="hybridMultilevel"/>
    <w:tmpl w:val="D0F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244527">
    <w:abstractNumId w:val="1"/>
  </w:num>
  <w:num w:numId="2" w16cid:durableId="99244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9"/>
    <w:rsid w:val="00016ED0"/>
    <w:rsid w:val="00247C23"/>
    <w:rsid w:val="00256262"/>
    <w:rsid w:val="00421929"/>
    <w:rsid w:val="004F7E02"/>
    <w:rsid w:val="0051127C"/>
    <w:rsid w:val="009843B5"/>
    <w:rsid w:val="009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C0994"/>
  <w15:chartTrackingRefBased/>
  <w15:docId w15:val="{98C87B57-45E0-174F-901B-F0DE452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4219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42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White</dc:creator>
  <cp:keywords/>
  <dc:description/>
  <cp:lastModifiedBy>Christina White</cp:lastModifiedBy>
  <cp:revision>2</cp:revision>
  <dcterms:created xsi:type="dcterms:W3CDTF">2024-02-18T04:03:00Z</dcterms:created>
  <dcterms:modified xsi:type="dcterms:W3CDTF">2024-02-18T04:03:00Z</dcterms:modified>
</cp:coreProperties>
</file>